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405053440" behindDoc="0" locked="1" layoutInCell="1" allowOverlap="1">
            <wp:simplePos x="0" y="0"/>
            <wp:positionH relativeFrom="column">
              <wp:posOffset>-858520</wp:posOffset>
            </wp:positionH>
            <wp:positionV relativeFrom="paragraph">
              <wp:posOffset>-933450</wp:posOffset>
            </wp:positionV>
            <wp:extent cx="7611745" cy="10767060"/>
            <wp:effectExtent l="0" t="0" r="8255" b="15240"/>
            <wp:wrapNone/>
            <wp:docPr id="26" name="图片 26" descr="第一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第一张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11745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/>
    <w:p/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ind w:left="-619" w:leftChars="-295" w:firstLine="0" w:firstLineChars="0"/>
      </w:pPr>
    </w:p>
    <w:p>
      <w:pPr>
        <w:ind w:left="-619" w:leftChars="-295" w:firstLine="0" w:firstLineChars="0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405072896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-1166495</wp:posOffset>
            </wp:positionV>
            <wp:extent cx="7599680" cy="11097260"/>
            <wp:effectExtent l="0" t="0" r="1270" b="8890"/>
            <wp:wrapNone/>
            <wp:docPr id="2" name="图片 2" descr="D:\2019年工作\2019-6-19\财务总监高级研修班\前面第二张.jpg前面第二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2019年工作\2019-6-19\财务总监高级研修班\前面第二张.jpg前面第二张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9680" cy="1109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both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ind w:left="-619" w:leftChars="-295" w:firstLine="0" w:firstLineChars="0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3"/>
        <w:jc w:val="both"/>
        <w:rPr>
          <w:rFonts w:hint="eastAsia"/>
          <w:lang w:val="en-US" w:eastAsia="zh-CN"/>
        </w:rPr>
      </w:pPr>
      <w:bookmarkStart w:id="0" w:name="_北大EMBA授课模式"/>
    </w:p>
    <w:bookmarkEnd w:id="0"/>
    <w:p>
      <w:pPr>
        <w:jc w:val="both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both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pStyle w:val="3"/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  <w:r>
        <w:rPr>
          <w:rFonts w:hint="eastAsia"/>
          <w:lang w:val="en-US" w:eastAsia="zh-CN"/>
        </w:rPr>
        <w:t>课程体系</w: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405078016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133985</wp:posOffset>
                </wp:positionV>
                <wp:extent cx="2041525" cy="1735455"/>
                <wp:effectExtent l="1270" t="0" r="14605" b="17145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4881245" y="1609725"/>
                          <a:ext cx="2041525" cy="1735455"/>
                          <a:chOff x="2075" y="36865"/>
                          <a:chExt cx="3215" cy="2733"/>
                        </a:xfrm>
                      </wpg:grpSpPr>
                      <wps:wsp>
                        <wps:cNvPr id="11" name="文本框 142"/>
                        <wps:cNvSpPr txBox="1"/>
                        <wps:spPr>
                          <a:xfrm>
                            <a:off x="2081" y="37036"/>
                            <a:ext cx="3196" cy="25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</w:rPr>
                                <w:t>0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  <w:t>《成本管理》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战略成本管理与实践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本量利（CVP）分析业务决策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" name="矩形 10"/>
                        <wps:cNvSpPr/>
                        <wps:spPr>
                          <a:xfrm>
                            <a:off x="2075" y="36865"/>
                            <a:ext cx="3215" cy="190"/>
                          </a:xfrm>
                          <a:prstGeom prst="rect">
                            <a:avLst/>
                          </a:prstGeom>
                          <a:solidFill>
                            <a:srgbClr val="00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7.75pt;margin-top:10.55pt;height:136.65pt;width:160.75pt;z-index:-1889889280;mso-width-relative:page;mso-height-relative:page;" coordorigin="2075,36865" coordsize="3215,2733" o:gfxdata="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sYpV5toAAAAKAQAADwAAAAAAAAABACAAAAAiAAAAZHJzL2Rvd25y&#10;ZXYueG1sUEsBAhQAFAAAAAgAh07iQGGEcdxSAwAApAgAAA4AAAAAAAAAAQAgAAAAKQEAAGRycy9l&#10;Mm9Eb2MueG1sUEsFBgAAAAAGAAYAWQEAAO0GAAAAAA==&#10;">
                <o:lock v:ext="edit" aspectratio="f"/>
                <v:shape id="文本框 142" o:spid="_x0000_s1026" o:spt="202" type="#_x0000_t202" style="position:absolute;left:2081;top:37036;height:2562;width:3196;" fillcolor="#FFFFFF [3201]" filled="t" stroked="t" coordsize="21600,21600" o:gfxdata="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TuCe9tAAAANsAAAAPAAAA&#10;AAAAAAEAIAAAACIAAABkcnMvZG93bnJldi54bWxQSwECFAAUAAAACACHTuJAMy8FnjsAAAA5AAAA&#10;EAAAAAAAAAABACAAAAADAQAAZHJzL3NoYXBleG1sLnhtbFBLBQYAAAAABgAGAFsBAACtAwAA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  <w:t>《成本管理》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战略成本管理与实践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本量利（CVP）分析业务决策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  <v:rect id="矩形 10" o:spid="_x0000_s1026" o:spt="1" style="position:absolute;left:2075;top:36865;height:190;width:3215;v-text-anchor:middle;" fillcolor="#006289" filled="t" stroked="f" coordsize="21600,21600" o:gfxdata="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qwDZb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405075968" behindDoc="0" locked="0" layoutInCell="1" allowOverlap="1">
                <wp:simplePos x="0" y="0"/>
                <wp:positionH relativeFrom="column">
                  <wp:posOffset>-155575</wp:posOffset>
                </wp:positionH>
                <wp:positionV relativeFrom="paragraph">
                  <wp:posOffset>133985</wp:posOffset>
                </wp:positionV>
                <wp:extent cx="2041525" cy="1735455"/>
                <wp:effectExtent l="1270" t="0" r="14605" b="1714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23570" y="1609725"/>
                          <a:ext cx="2041525" cy="1735455"/>
                          <a:chOff x="2180" y="36865"/>
                          <a:chExt cx="3215" cy="2733"/>
                        </a:xfrm>
                      </wpg:grpSpPr>
                      <wps:wsp>
                        <wps:cNvPr id="142" name="文本框 142"/>
                        <wps:cNvSpPr txBox="1"/>
                        <wps:spPr>
                          <a:xfrm>
                            <a:off x="2186" y="37036"/>
                            <a:ext cx="3196" cy="25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</w:rPr>
                                <w:t>01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  <w:t>《财务分析》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经营决策分析与风险管理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控制权方案设计与案例分析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" name="矩形 10"/>
                        <wps:cNvSpPr/>
                        <wps:spPr>
                          <a:xfrm>
                            <a:off x="2180" y="36865"/>
                            <a:ext cx="3215" cy="190"/>
                          </a:xfrm>
                          <a:prstGeom prst="rect">
                            <a:avLst/>
                          </a:prstGeom>
                          <a:solidFill>
                            <a:srgbClr val="00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2.25pt;margin-top:10.55pt;height:136.65pt;width:160.75pt;z-index:-1889891328;mso-width-relative:page;mso-height-relative:page;" coordorigin="2180,36865" coordsize="3215,2733" o:gfxdata="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">
                <o:lock v:ext="edit" aspectratio="f"/>
                <v:shape id="_x0000_s1026" o:spid="_x0000_s1026" o:spt="202" type="#_x0000_t202" style="position:absolute;left:2186;top:37036;height:2562;width:3196;" fillcolor="#FFFFFF [3201]" filled="t" stroked="t" coordsize="21600,21600" o:gfxdata="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eVCUGrUAAADcAAAADwAA&#10;AAAAAAABACAAAAAiAAAAZHJzL2Rvd25yZXYueG1sUEsBAhQAFAAAAAgAh07iQDMvBZ47AAAAOQAA&#10;ABAAAAAAAAAAAQAgAAAABAEAAGRycy9zaGFwZXhtbC54bWxQSwUGAAAAAAYABgBbAQAArgMA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</w:rPr>
                          <w:t>01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  <w:t>《财务分析》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经营决策分析与风险管理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控制权方案设计与案例分析</w:t>
                        </w:r>
                      </w:p>
                    </w:txbxContent>
                  </v:textbox>
                </v:shape>
                <v:rect id="_x0000_s1026" o:spid="_x0000_s1026" o:spt="1" style="position:absolute;left:2180;top:36865;height:190;width:3215;v-text-anchor:middle;" fillcolor="#006289" filled="t" stroked="f" coordsize="21600,21600" o:gfxdata="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TI4ib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405076992" behindDoc="0" locked="0" layoutInCell="1" allowOverlap="1">
                <wp:simplePos x="0" y="0"/>
                <wp:positionH relativeFrom="column">
                  <wp:posOffset>1939925</wp:posOffset>
                </wp:positionH>
                <wp:positionV relativeFrom="paragraph">
                  <wp:posOffset>133985</wp:posOffset>
                </wp:positionV>
                <wp:extent cx="2040890" cy="1735455"/>
                <wp:effectExtent l="1270" t="0" r="15240" b="17145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2757170" y="1609725"/>
                          <a:ext cx="2040890" cy="1735455"/>
                          <a:chOff x="2120" y="36865"/>
                          <a:chExt cx="3214" cy="2733"/>
                        </a:xfrm>
                      </wpg:grpSpPr>
                      <wps:wsp>
                        <wps:cNvPr id="7" name="文本框 142"/>
                        <wps:cNvSpPr txBox="1"/>
                        <wps:spPr>
                          <a:xfrm>
                            <a:off x="2126" y="37036"/>
                            <a:ext cx="3196" cy="25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</w:rPr>
                                <w:t>0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2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  <w:t>《预算管理》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预算管理难点与瓶颈突破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年度经营计划财务预算落地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" name="矩形 10"/>
                        <wps:cNvSpPr/>
                        <wps:spPr>
                          <a:xfrm>
                            <a:off x="2120" y="36865"/>
                            <a:ext cx="3215" cy="190"/>
                          </a:xfrm>
                          <a:prstGeom prst="rect">
                            <a:avLst/>
                          </a:prstGeom>
                          <a:solidFill>
                            <a:srgbClr val="00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2.75pt;margin-top:10.55pt;height:136.65pt;width:160.7pt;z-index:-1889890304;mso-width-relative:page;mso-height-relative:page;" coordorigin="2120,36865" coordsize="3214,2733" o:gfxdata="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">
                <o:lock v:ext="edit" aspectratio="f"/>
                <v:shape id="文本框 142" o:spid="_x0000_s1026" o:spt="202" type="#_x0000_t202" style="position:absolute;left:2126;top:37036;height:2562;width:3196;" fillcolor="#FFFFFF [3201]" filled="t" stroked="t" coordsize="21600,21600" o:gfxdata="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aHlYe2AAAA2gAAAA8A&#10;AAAAAAAAAQAgAAAAIgAAAGRycy9kb3ducmV2LnhtbFBLAQIUABQAAAAIAIdO4kAzLwWeOwAAADkA&#10;AAAQAAAAAAAAAAEAIAAAAAUBAABkcnMvc2hhcGV4bWwueG1sUEsFBgAAAAAGAAYAWwEAAK8DAAAA&#10;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2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  <w:t>《预算管理》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预算管理难点与瓶颈突破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年度经营计划财务预算落地</w:t>
                        </w:r>
                      </w:p>
                    </w:txbxContent>
                  </v:textbox>
                </v:shape>
                <v:rect id="矩形 10" o:spid="_x0000_s1026" o:spt="1" style="position:absolute;left:2120;top:36865;height:190;width:3215;v-text-anchor:middle;" fillcolor="#006289" filled="t" stroked="f" coordsize="21600,21600" o:gfxdata="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+dxFugAAANo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pStyle w:val="3"/>
        <w:jc w:val="both"/>
        <w:rPr>
          <w:rFonts w:hint="eastAsia"/>
          <w:lang w:val="en-US" w:eastAsia="zh-CN"/>
        </w:rPr>
      </w:pPr>
      <w:bookmarkStart w:id="1" w:name="_课程体系"/>
    </w:p>
    <w:bookmarkEnd w:id="1"/>
    <w:p/>
    <w:p/>
    <w:p/>
    <w:p/>
    <w:p/>
    <w:p/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405081088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62230</wp:posOffset>
                </wp:positionV>
                <wp:extent cx="2041525" cy="1735455"/>
                <wp:effectExtent l="1270" t="0" r="14605" b="17145"/>
                <wp:wrapNone/>
                <wp:docPr id="21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4881245" y="3651250"/>
                          <a:ext cx="2041525" cy="1735455"/>
                          <a:chOff x="2075" y="36865"/>
                          <a:chExt cx="3215" cy="2733"/>
                        </a:xfrm>
                      </wpg:grpSpPr>
                      <wps:wsp>
                        <wps:cNvPr id="22" name="文本框 142"/>
                        <wps:cNvSpPr txBox="1"/>
                        <wps:spPr>
                          <a:xfrm>
                            <a:off x="2081" y="37036"/>
                            <a:ext cx="3196" cy="25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</w:rPr>
                                <w:t>0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6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  <w:t>《投资管理》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私募基金投资策略案例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股权投资与投资并购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3" name="矩形 10"/>
                        <wps:cNvSpPr/>
                        <wps:spPr>
                          <a:xfrm>
                            <a:off x="2075" y="36865"/>
                            <a:ext cx="3215" cy="190"/>
                          </a:xfrm>
                          <a:prstGeom prst="rect">
                            <a:avLst/>
                          </a:prstGeom>
                          <a:solidFill>
                            <a:srgbClr val="00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" o:spid="_x0000_s1026" o:spt="203" style="position:absolute;left:0pt;margin-left:317.75pt;margin-top:4.9pt;height:136.65pt;width:160.75pt;z-index:-1889886208;mso-width-relative:page;mso-height-relative:page;" coordorigin="2075,36865" coordsize="3215,2733" o:gfxdata="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2vDFw9kAAAAJAQAADwAAAAAAAAABACAAAAAiAAAAZHJzL2Rvd25y&#10;ZXYueG1sUEsBAhQAFAAAAAgAh07iQCH3AudTAwAApQgAAA4AAAAAAAAAAQAgAAAAKAEAAGRycy9l&#10;Mm9Eb2MueG1sUEsFBgAAAAAGAAYAWQEAAO0GAAAAAA==&#10;">
                <o:lock v:ext="edit" aspectratio="f"/>
                <v:shape id="文本框 142" o:spid="_x0000_s1026" o:spt="202" type="#_x0000_t202" style="position:absolute;left:2081;top:37036;height:2562;width:3196;" fillcolor="#FFFFFF [3201]" filled="t" stroked="t" coordsize="21600,21600" o:gfxdata="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0Gc3e2AAAA2wAAAA8A&#10;AAAAAAAAAQAgAAAAIgAAAGRycy9kb3ducmV2LnhtbFBLAQIUABQAAAAIAIdO4kAzLwWeOwAAADkA&#10;AAAQAAAAAAAAAAEAIAAAAAUBAABkcnMvc2hhcGV4bWwueG1sUEsFBgAAAAAGAAYAWwEAAK8DAAAA&#10;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6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  <w:t>《投资管理》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私募基金投资策略案例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股权投资与投资并购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  <v:rect id="矩形 10" o:spid="_x0000_s1026" o:spt="1" style="position:absolute;left:2075;top:36865;height:190;width:3215;v-text-anchor:middle;" fillcolor="#006289" filled="t" stroked="f" coordsize="21600,21600" o:gfxdata="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+MbEO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405079040" behindDoc="0" locked="0" layoutInCell="1" allowOverlap="1">
                <wp:simplePos x="0" y="0"/>
                <wp:positionH relativeFrom="column">
                  <wp:posOffset>-155575</wp:posOffset>
                </wp:positionH>
                <wp:positionV relativeFrom="paragraph">
                  <wp:posOffset>62230</wp:posOffset>
                </wp:positionV>
                <wp:extent cx="2041525" cy="1735455"/>
                <wp:effectExtent l="1270" t="0" r="14605" b="17145"/>
                <wp:wrapNone/>
                <wp:docPr id="15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23570" y="3651250"/>
                          <a:ext cx="2041525" cy="1735455"/>
                          <a:chOff x="2180" y="36865"/>
                          <a:chExt cx="3215" cy="2733"/>
                        </a:xfrm>
                      </wpg:grpSpPr>
                      <wps:wsp>
                        <wps:cNvPr id="16" name="文本框 142"/>
                        <wps:cNvSpPr txBox="1"/>
                        <wps:spPr>
                          <a:xfrm>
                            <a:off x="2186" y="37036"/>
                            <a:ext cx="3196" cy="25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</w:rPr>
                                <w:t>0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4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  <w:t>《风险控制》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内部控制与企业风险管理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风险导向的内部审计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7" name="矩形 10"/>
                        <wps:cNvSpPr/>
                        <wps:spPr>
                          <a:xfrm>
                            <a:off x="2180" y="36865"/>
                            <a:ext cx="3215" cy="190"/>
                          </a:xfrm>
                          <a:prstGeom prst="rect">
                            <a:avLst/>
                          </a:prstGeom>
                          <a:solidFill>
                            <a:srgbClr val="00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-12.25pt;margin-top:4.9pt;height:136.65pt;width:160.75pt;z-index:-1889888256;mso-width-relative:page;mso-height-relative:page;" coordorigin="2180,36865" coordsize="3215,2733" o:gfxdata="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z0381doAAAAJAQAADwAAAAAAAAABACAAAAAiAAAAZHJzL2Rvd25y&#10;ZXYueG1sUEsBAhQAFAAAAAgAh07iQNc6lvVSAwAApAgAAA4AAAAAAAAAAQAgAAAAKQEAAGRycy9l&#10;Mm9Eb2MueG1sUEsFBgAAAAAGAAYAWQEAAO0GAAAAAA==&#10;">
                <o:lock v:ext="edit" aspectratio="f"/>
                <v:shape id="文本框 142" o:spid="_x0000_s1026" o:spt="202" type="#_x0000_t202" style="position:absolute;left:2186;top:37036;height:2562;width:3196;" fillcolor="#FFFFFF [3201]" filled="t" stroked="t" coordsize="21600,21600" o:gfxdata="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cUb/JtAAAANsAAAAPAAAA&#10;AAAAAAEAIAAAACIAAABkcnMvZG93bnJldi54bWxQSwECFAAUAAAACACHTuJAMy8FnjsAAAA5AAAA&#10;EAAAAAAAAAABACAAAAADAQAAZHJzL3NoYXBleG1sLnhtbFBLBQYAAAAABgAGAFsBAACtAwAA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  <w:t>《风险控制》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内部控制与企业风险管理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风险导向的内部审计</w:t>
                        </w:r>
                      </w:p>
                    </w:txbxContent>
                  </v:textbox>
                </v:shape>
                <v:rect id="矩形 10" o:spid="_x0000_s1026" o:spt="1" style="position:absolute;left:2180;top:36865;height:190;width:3215;v-text-anchor:middle;" fillcolor="#006289" filled="t" stroked="f" coordsize="21600,21600" o:gfxdata="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26D9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405080064" behindDoc="0" locked="0" layoutInCell="1" allowOverlap="1">
                <wp:simplePos x="0" y="0"/>
                <wp:positionH relativeFrom="column">
                  <wp:posOffset>1939925</wp:posOffset>
                </wp:positionH>
                <wp:positionV relativeFrom="paragraph">
                  <wp:posOffset>62230</wp:posOffset>
                </wp:positionV>
                <wp:extent cx="2040890" cy="1735455"/>
                <wp:effectExtent l="1270" t="0" r="15240" b="17145"/>
                <wp:wrapNone/>
                <wp:docPr id="18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2757170" y="3651250"/>
                          <a:ext cx="2040890" cy="1735455"/>
                          <a:chOff x="2120" y="36865"/>
                          <a:chExt cx="3214" cy="2733"/>
                        </a:xfrm>
                      </wpg:grpSpPr>
                      <wps:wsp>
                        <wps:cNvPr id="19" name="文本框 142"/>
                        <wps:cNvSpPr txBox="1"/>
                        <wps:spPr>
                          <a:xfrm>
                            <a:off x="2126" y="37036"/>
                            <a:ext cx="3196" cy="25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</w:rPr>
                                <w:t>0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5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  <w:t>《融资管理》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多维度融资筹划实战技巧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公司估值与财务分析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0" name="矩形 10"/>
                        <wps:cNvSpPr/>
                        <wps:spPr>
                          <a:xfrm>
                            <a:off x="2120" y="36865"/>
                            <a:ext cx="3215" cy="190"/>
                          </a:xfrm>
                          <a:prstGeom prst="rect">
                            <a:avLst/>
                          </a:prstGeom>
                          <a:solidFill>
                            <a:srgbClr val="00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152.75pt;margin-top:4.9pt;height:136.65pt;width:160.7pt;z-index:-1889887232;mso-width-relative:page;mso-height-relative:page;" coordorigin="2120,36865" coordsize="3214,2733" o:gfxdata="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InFxNHZAAAACQEAAA8AAAAAAAAAAQAgAAAAIgAAAGRycy9kb3du&#10;cmV2LnhtbFBLAQIUABQAAAAIAIdO4kBYWQ5UVAMAAKUIAAAOAAAAAAAAAAEAIAAAACgBAABkcnMv&#10;ZTJvRG9jLnhtbFBLBQYAAAAABgAGAFkBAADuBgAAAAA=&#10;">
                <o:lock v:ext="edit" aspectratio="f"/>
                <v:shape id="文本框 142" o:spid="_x0000_s1026" o:spt="202" type="#_x0000_t202" style="position:absolute;left:2126;top:37036;height:2562;width:3196;" fillcolor="#FFFFFF [3201]" filled="t" stroked="t" coordsize="21600,21600" o:gfxdata="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bc4ru7UAAADbAAAADwAA&#10;AAAAAAABACAAAAAiAAAAZHJzL2Rvd25yZXYueG1sUEsBAhQAFAAAAAgAh07iQDMvBZ47AAAAOQAA&#10;ABAAAAAAAAAAAQAgAAAABAEAAGRycy9zaGFwZXhtbC54bWxQSwUGAAAAAAYABgBbAQAArgMA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  <w:t>《融资管理》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多维度融资筹划实战技巧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公司估值与财务分析</w:t>
                        </w:r>
                      </w:p>
                    </w:txbxContent>
                  </v:textbox>
                </v:shape>
                <v:rect id="矩形 10" o:spid="_x0000_s1026" o:spt="1" style="position:absolute;left:2120;top:36865;height:190;width:3215;v-text-anchor:middle;" fillcolor="#006289" filled="t" stroked="f" coordsize="21600,21600" o:gfxdata="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9e8jS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/>
    <w:p/>
    <w:p/>
    <w:p/>
    <w:p/>
    <w:p/>
    <w:p/>
    <w:p/>
    <w:p/>
    <w:p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40508416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122555</wp:posOffset>
                </wp:positionV>
                <wp:extent cx="2041525" cy="1735455"/>
                <wp:effectExtent l="1270" t="0" r="14605" b="17145"/>
                <wp:wrapNone/>
                <wp:docPr id="34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4881245" y="5692775"/>
                          <a:ext cx="2041525" cy="1735455"/>
                          <a:chOff x="2075" y="36865"/>
                          <a:chExt cx="3215" cy="2733"/>
                        </a:xfrm>
                      </wpg:grpSpPr>
                      <wps:wsp>
                        <wps:cNvPr id="35" name="文本框 142"/>
                        <wps:cNvSpPr txBox="1"/>
                        <wps:spPr>
                          <a:xfrm>
                            <a:off x="2081" y="37036"/>
                            <a:ext cx="3196" cy="25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</w:rPr>
                                <w:t>0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9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  <w:t>《税务筹划一》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2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企业不同周期中的税务筹划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2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企业税筹与精细化管理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2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金三大数据下税务危机防范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6" name="矩形 10"/>
                        <wps:cNvSpPr/>
                        <wps:spPr>
                          <a:xfrm>
                            <a:off x="2075" y="36865"/>
                            <a:ext cx="3215" cy="190"/>
                          </a:xfrm>
                          <a:prstGeom prst="rect">
                            <a:avLst/>
                          </a:prstGeom>
                          <a:solidFill>
                            <a:srgbClr val="00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" o:spid="_x0000_s1026" o:spt="203" style="position:absolute;left:0pt;margin-left:317.75pt;margin-top:9.65pt;height:136.65pt;width:160.75pt;z-index:-1889883136;mso-width-relative:page;mso-height-relative:page;" coordorigin="2075,36865" coordsize="3215,2733" o:gfxdata="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IffqajaAAAACgEAAA8AAAAAAAAAAQAgAAAAIgAAAGRycy9kb3du&#10;cmV2LnhtbFBLAQIUABQAAAAIAIdO4kDZ9rCzUwMAAKUIAAAOAAAAAAAAAAEAIAAAACkBAABkcnMv&#10;ZTJvRG9jLnhtbFBLBQYAAAAABgAGAFkBAADuBgAAAAA=&#10;">
                <o:lock v:ext="edit" aspectratio="f"/>
                <v:shape id="文本框 142" o:spid="_x0000_s1026" o:spt="202" type="#_x0000_t202" style="position:absolute;left:2081;top:37036;height:2562;width:3196;" fillcolor="#FFFFFF [3201]" filled="t" stroked="t" coordsize="21600,21600" o:gfxdata="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nNn3etwAAANsAAAAP&#10;AAAAAAAAAAEAIAAAACIAAABkcnMvZG93bnJldi54bWxQSwECFAAUAAAACACHTuJAMy8FnjsAAAA5&#10;AAAAEAAAAAAAAAABACAAAAAGAQAAZHJzL3NoYXBleG1sLnhtbFBLBQYAAAAABgAGAFsBAACwAwAA&#10;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9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  <w:t>《税务筹划一》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2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企业不同周期中的税务筹划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2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企业税筹与精细化管理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2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金三大数据下税务危机防范</w:t>
                        </w:r>
                      </w:p>
                    </w:txbxContent>
                  </v:textbox>
                </v:shape>
                <v:rect id="矩形 10" o:spid="_x0000_s1026" o:spt="1" style="position:absolute;left:2075;top:36865;height:190;width:3215;v-text-anchor:middle;" fillcolor="#006289" filled="t" stroked="f" coordsize="21600,21600" o:gfxdata="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oiWQa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405082112" behindDoc="0" locked="0" layoutInCell="1" allowOverlap="1">
                <wp:simplePos x="0" y="0"/>
                <wp:positionH relativeFrom="column">
                  <wp:posOffset>-155575</wp:posOffset>
                </wp:positionH>
                <wp:positionV relativeFrom="paragraph">
                  <wp:posOffset>122555</wp:posOffset>
                </wp:positionV>
                <wp:extent cx="2041525" cy="1735455"/>
                <wp:effectExtent l="1270" t="0" r="14605" b="17145"/>
                <wp:wrapNone/>
                <wp:docPr id="28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23570" y="5692775"/>
                          <a:ext cx="2041525" cy="1735455"/>
                          <a:chOff x="2180" y="36865"/>
                          <a:chExt cx="3215" cy="2733"/>
                        </a:xfrm>
                      </wpg:grpSpPr>
                      <wps:wsp>
                        <wps:cNvPr id="29" name="文本框 142"/>
                        <wps:cNvSpPr txBox="1"/>
                        <wps:spPr>
                          <a:xfrm>
                            <a:off x="2186" y="37036"/>
                            <a:ext cx="3196" cy="25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</w:rPr>
                                <w:t>0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7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  <w:t>《资金管理》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现金流与运营资本管理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投资理财与资金规划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0" name="矩形 10"/>
                        <wps:cNvSpPr/>
                        <wps:spPr>
                          <a:xfrm>
                            <a:off x="2180" y="36865"/>
                            <a:ext cx="3215" cy="190"/>
                          </a:xfrm>
                          <a:prstGeom prst="rect">
                            <a:avLst/>
                          </a:prstGeom>
                          <a:solidFill>
                            <a:srgbClr val="00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-12.25pt;margin-top:9.65pt;height:136.65pt;width:160.75pt;z-index:-1889885184;mso-width-relative:page;mso-height-relative:page;" coordorigin="2180,36865" coordsize="3215,2733" o:gfxdata="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">
                <o:lock v:ext="edit" aspectratio="f"/>
                <v:shape id="文本框 142" o:spid="_x0000_s1026" o:spt="202" type="#_x0000_t202" style="position:absolute;left:2186;top:37036;height:2562;width:3196;" fillcolor="#FFFFFF [3201]" filled="t" stroked="t" coordsize="21600,21600" o:gfxdata="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jouEGtwAAANsAAAAP&#10;AAAAAAAAAAEAIAAAACIAAABkcnMvZG93bnJldi54bWxQSwECFAAUAAAACACHTuJAMy8FnjsAAAA5&#10;AAAAEAAAAAAAAAABACAAAAAGAQAAZHJzL3NoYXBleG1sLnhtbFBLBQYAAAAABgAGAFsBAACwAwAA&#10;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7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  <w:t>《资金管理》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现金流与运营资本管理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投资理财与资金规划</w:t>
                        </w:r>
                      </w:p>
                    </w:txbxContent>
                  </v:textbox>
                </v:shape>
                <v:rect id="矩形 10" o:spid="_x0000_s1026" o:spt="1" style="position:absolute;left:2180;top:36865;height:190;width:3215;v-text-anchor:middle;" fillcolor="#006289" filled="t" stroked="f" coordsize="21600,21600" o:gfxdata="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qHZOm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405083136" behindDoc="0" locked="0" layoutInCell="1" allowOverlap="1">
                <wp:simplePos x="0" y="0"/>
                <wp:positionH relativeFrom="column">
                  <wp:posOffset>1939925</wp:posOffset>
                </wp:positionH>
                <wp:positionV relativeFrom="paragraph">
                  <wp:posOffset>122555</wp:posOffset>
                </wp:positionV>
                <wp:extent cx="2040890" cy="1735455"/>
                <wp:effectExtent l="1270" t="0" r="15240" b="17145"/>
                <wp:wrapNone/>
                <wp:docPr id="31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2757170" y="5692775"/>
                          <a:ext cx="2040890" cy="1735455"/>
                          <a:chOff x="2120" y="36865"/>
                          <a:chExt cx="3214" cy="2733"/>
                        </a:xfrm>
                      </wpg:grpSpPr>
                      <wps:wsp>
                        <wps:cNvPr id="32" name="文本框 142"/>
                        <wps:cNvSpPr txBox="1"/>
                        <wps:spPr>
                          <a:xfrm>
                            <a:off x="2126" y="37036"/>
                            <a:ext cx="3196" cy="25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</w:rPr>
                                <w:t>0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8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  <w:t>《上市公司》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信息披露与投资者关系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公司治理与规范运作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3" name="矩形 10"/>
                        <wps:cNvSpPr/>
                        <wps:spPr>
                          <a:xfrm>
                            <a:off x="2120" y="36865"/>
                            <a:ext cx="3215" cy="190"/>
                          </a:xfrm>
                          <a:prstGeom prst="rect">
                            <a:avLst/>
                          </a:prstGeom>
                          <a:solidFill>
                            <a:srgbClr val="00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152.75pt;margin-top:9.65pt;height:136.65pt;width:160.7pt;z-index:-1889884160;mso-width-relative:page;mso-height-relative:page;" coordorigin="2120,36865" coordsize="3214,2733" o:gfxdata="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">
                <o:lock v:ext="edit" aspectratio="f"/>
                <v:shape id="文本框 142" o:spid="_x0000_s1026" o:spt="202" type="#_x0000_t202" style="position:absolute;left:2126;top:37036;height:2562;width:3196;" fillcolor="#FFFFFF [3201]" filled="t" stroked="t" coordsize="21600,21600" o:gfxdata="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jf5aq2AAAA2wAAAA8A&#10;AAAAAAAAAQAgAAAAIgAAAGRycy9kb3ducmV2LnhtbFBLAQIUABQAAAAIAIdO4kAzLwWeOwAAADkA&#10;AAAQAAAAAAAAAAEAIAAAAAUBAABkcnMvc2hhcGV4bWwueG1sUEsFBgAAAAAGAAYAWwEAAK8DAAAA&#10;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8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  <w:t>《上市公司》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信息披露与投资者关系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公司治理与规范运作</w:t>
                        </w:r>
                      </w:p>
                    </w:txbxContent>
                  </v:textbox>
                </v:shape>
                <v:rect id="矩形 10" o:spid="_x0000_s1026" o:spt="1" style="position:absolute;left:2120;top:36865;height:190;width:3215;v-text-anchor:middle;" fillcolor="#006289" filled="t" stroked="f" coordsize="21600,21600" o:gfxdata="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Vfqe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405087232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327660</wp:posOffset>
                </wp:positionV>
                <wp:extent cx="2041525" cy="1735455"/>
                <wp:effectExtent l="1270" t="0" r="14605" b="17145"/>
                <wp:wrapNone/>
                <wp:docPr id="44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4881245" y="7734300"/>
                          <a:ext cx="2041525" cy="1735455"/>
                          <a:chOff x="2075" y="36865"/>
                          <a:chExt cx="3215" cy="2733"/>
                        </a:xfrm>
                      </wpg:grpSpPr>
                      <wps:wsp>
                        <wps:cNvPr id="45" name="文本框 142"/>
                        <wps:cNvSpPr txBox="1"/>
                        <wps:spPr>
                          <a:xfrm>
                            <a:off x="2081" y="37036"/>
                            <a:ext cx="3196" cy="25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</w:rPr>
                                <w:t>1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2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  <w:t>《引领创新》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2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走进蒙牛：数字化转型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2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走进阿里：财务思考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2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走进京瓷：阿米巴经营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2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揭秘海尔：财务管理变革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6" name="矩形 10"/>
                        <wps:cNvSpPr/>
                        <wps:spPr>
                          <a:xfrm>
                            <a:off x="2075" y="36865"/>
                            <a:ext cx="3215" cy="190"/>
                          </a:xfrm>
                          <a:prstGeom prst="rect">
                            <a:avLst/>
                          </a:prstGeom>
                          <a:solidFill>
                            <a:srgbClr val="00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" o:spid="_x0000_s1026" o:spt="203" style="position:absolute;left:0pt;margin-left:317.75pt;margin-top:25.8pt;height:136.65pt;width:160.75pt;z-index:-1889880064;mso-width-relative:page;mso-height-relative:page;" coordorigin="2075,36865" coordsize="3215,2733" o:gfxdata="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">
                <o:lock v:ext="edit" aspectratio="f"/>
                <v:shape id="文本框 142" o:spid="_x0000_s1026" o:spt="202" type="#_x0000_t202" style="position:absolute;left:2081;top:37036;height:2562;width:3196;" fillcolor="#FFFFFF [3201]" filled="t" stroked="t" coordsize="21600,21600" o:gfxdata="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/MA6jtwAAANsAAAAP&#10;AAAAAAAAAAEAIAAAACIAAABkcnMvZG93bnJldi54bWxQSwECFAAUAAAACACHTuJAMy8FnjsAAAA5&#10;AAAAEAAAAAAAAAABACAAAAAGAQAAZHJzL3NoYXBleG1sLnhtbFBLBQYAAAAABgAGAFsBAACwAwAA&#10;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2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  <w:t>《引领创新》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2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走进蒙牛：数字化转型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2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走进阿里：财务思考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2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走进京瓷：阿米巴经营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2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揭秘海尔：财务管理变革</w:t>
                        </w:r>
                      </w:p>
                    </w:txbxContent>
                  </v:textbox>
                </v:shape>
                <v:rect id="矩形 10" o:spid="_x0000_s1026" o:spt="1" style="position:absolute;left:2075;top:36865;height:190;width:3215;v-text-anchor:middle;" fillcolor="#006289" filled="t" stroked="f" coordsize="21600,21600" o:gfxdata="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iQqe7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405085184" behindDoc="0" locked="0" layoutInCell="1" allowOverlap="1">
                <wp:simplePos x="0" y="0"/>
                <wp:positionH relativeFrom="column">
                  <wp:posOffset>-155575</wp:posOffset>
                </wp:positionH>
                <wp:positionV relativeFrom="paragraph">
                  <wp:posOffset>327660</wp:posOffset>
                </wp:positionV>
                <wp:extent cx="2041525" cy="1735455"/>
                <wp:effectExtent l="1270" t="0" r="14605" b="17145"/>
                <wp:wrapNone/>
                <wp:docPr id="38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23570" y="7734300"/>
                          <a:ext cx="2041525" cy="1735455"/>
                          <a:chOff x="2180" y="36865"/>
                          <a:chExt cx="3215" cy="2733"/>
                        </a:xfrm>
                      </wpg:grpSpPr>
                      <wps:wsp>
                        <wps:cNvPr id="39" name="文本框 142"/>
                        <wps:cNvSpPr txBox="1"/>
                        <wps:spPr>
                          <a:xfrm>
                            <a:off x="2186" y="37036"/>
                            <a:ext cx="3196" cy="25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</w:rPr>
                                <w:t>1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0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  <w:t>《税务筹划二》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国地税合并后高管个税稽查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新个人所得税案例解析筹划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0" name="矩形 10"/>
                        <wps:cNvSpPr/>
                        <wps:spPr>
                          <a:xfrm>
                            <a:off x="2180" y="36865"/>
                            <a:ext cx="3215" cy="190"/>
                          </a:xfrm>
                          <a:prstGeom prst="rect">
                            <a:avLst/>
                          </a:prstGeom>
                          <a:solidFill>
                            <a:srgbClr val="00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-12.25pt;margin-top:25.8pt;height:136.65pt;width:160.75pt;z-index:-1889882112;mso-width-relative:page;mso-height-relative:page;" coordorigin="2180,36865" coordsize="3215,2733" o:gfxdata="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">
                <o:lock v:ext="edit" aspectratio="f"/>
                <v:shape id="文本框 142" o:spid="_x0000_s1026" o:spt="202" type="#_x0000_t202" style="position:absolute;left:2186;top:37036;height:2562;width:3196;" fillcolor="#FFFFFF [3201]" filled="t" stroked="t" coordsize="21600,21600" o:gfxdata="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me3fbtwAAANsAAAAP&#10;AAAAAAAAAAEAIAAAACIAAABkcnMvZG93bnJldi54bWxQSwECFAAUAAAACACHTuJAMy8FnjsAAAA5&#10;AAAAEAAAAAAAAAABACAAAAAGAQAAZHJzL3NoYXBleG1sLnhtbFBLBQYAAAAABgAGAFsBAACwAwAA&#10;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0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  <w:t>《税务筹划二》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国地税合并后高管个税稽查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新个人所得税案例解析筹划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  <v:rect id="矩形 10" o:spid="_x0000_s1026" o:spt="1" style="position:absolute;left:2180;top:36865;height:190;width:3215;v-text-anchor:middle;" fillcolor="#006289" filled="t" stroked="f" coordsize="21600,21600" o:gfxdata="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gReU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405086208" behindDoc="0" locked="0" layoutInCell="1" allowOverlap="1">
                <wp:simplePos x="0" y="0"/>
                <wp:positionH relativeFrom="column">
                  <wp:posOffset>1939925</wp:posOffset>
                </wp:positionH>
                <wp:positionV relativeFrom="paragraph">
                  <wp:posOffset>327660</wp:posOffset>
                </wp:positionV>
                <wp:extent cx="2040890" cy="1735455"/>
                <wp:effectExtent l="1270" t="0" r="15240" b="17145"/>
                <wp:wrapNone/>
                <wp:docPr id="41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2757170" y="7734300"/>
                          <a:ext cx="2040890" cy="1735455"/>
                          <a:chOff x="2120" y="36865"/>
                          <a:chExt cx="3214" cy="2733"/>
                        </a:xfrm>
                      </wpg:grpSpPr>
                      <wps:wsp>
                        <wps:cNvPr id="42" name="文本框 142"/>
                        <wps:cNvSpPr txBox="1"/>
                        <wps:spPr>
                          <a:xfrm>
                            <a:off x="2126" y="37036"/>
                            <a:ext cx="3196" cy="25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1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</w:rPr>
                                <w:t>1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  <w:t>《税务筹划三》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减税时代下的稽查高风险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跨境资金流与外汇管理筹划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3" name="矩形 10"/>
                        <wps:cNvSpPr/>
                        <wps:spPr>
                          <a:xfrm>
                            <a:off x="2120" y="36865"/>
                            <a:ext cx="3215" cy="190"/>
                          </a:xfrm>
                          <a:prstGeom prst="rect">
                            <a:avLst/>
                          </a:prstGeom>
                          <a:solidFill>
                            <a:srgbClr val="00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152.75pt;margin-top:25.8pt;height:136.65pt;width:160.7pt;z-index:-1889881088;mso-width-relative:page;mso-height-relative:page;" coordorigin="2120,36865" coordsize="3214,2733" o:gfxdata="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">
                <o:lock v:ext="edit" aspectratio="f"/>
                <v:shape id="文本框 142" o:spid="_x0000_s1026" o:spt="202" type="#_x0000_t202" style="position:absolute;left:2126;top:37036;height:2562;width:3196;" fillcolor="#FFFFFF [3201]" filled="t" stroked="t" coordsize="21600,21600" o:gfxdata="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w2ZbXtwAAANsAAAAP&#10;AAAAAAAAAAEAIAAAACIAAABkcnMvZG93bnJldi54bWxQSwECFAAUAAAACACHTuJAMy8FnjsAAAA5&#10;AAAAEAAAAAAAAAABACAAAAAGAQAAZHJzL3NoYXBleG1sLnhtbFBLBQYAAAAABgAGAFsBAACwAwAA&#10;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1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  <w:t>《税务筹划三》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减税时代下的稽查高风险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跨境资金流与外汇管理筹划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  <v:rect id="矩形 10" o:spid="_x0000_s1026" o:spt="1" style="position:absolute;left:2120;top:36865;height:190;width:3215;v-text-anchor:middle;" fillcolor="#006289" filled="t" stroked="f" coordsize="21600,21600" o:gfxdata="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lOJ47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微软雅黑" w:hAnsi="微软雅黑" w:eastAsia="微软雅黑" w:cs="微软雅黑"/>
          <w:b w:val="0"/>
          <w:bCs/>
          <w:sz w:val="24"/>
          <w:szCs w:val="24"/>
        </w:rPr>
      </w:pPr>
      <w:bookmarkStart w:id="2" w:name="_名师指路让你少走10年弯路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40506880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710565</wp:posOffset>
            </wp:positionV>
            <wp:extent cx="5242560" cy="8472170"/>
            <wp:effectExtent l="0" t="0" r="15240" b="5080"/>
            <wp:wrapNone/>
            <wp:docPr id="145" name="图片 145" descr="财务师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财务师资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847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32"/>
          <w:szCs w:val="32"/>
        </w:rPr>
        <w:t>名师指路让你少走10年弯路</w:t>
      </w:r>
      <w:bookmarkEnd w:id="2"/>
      <w:r>
        <w:rPr>
          <w:rFonts w:hint="eastAsia" w:ascii="微软雅黑" w:hAnsi="微软雅黑" w:eastAsia="微软雅黑" w:cs="微软雅黑"/>
          <w:sz w:val="32"/>
          <w:szCs w:val="32"/>
        </w:rPr>
        <w:br w:type="textWrapping"/>
      </w:r>
      <w:r>
        <w:rPr>
          <w:rFonts w:hint="eastAsia" w:ascii="微软雅黑" w:hAnsi="微软雅黑" w:eastAsia="微软雅黑" w:cs="微软雅黑"/>
          <w:b w:val="0"/>
          <w:bCs/>
          <w:sz w:val="24"/>
          <w:szCs w:val="24"/>
        </w:rPr>
        <w:t>全国实力派管理专家 都是你的智囊团成员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eastAsiaTheme="minorEastAsia"/>
          <w:lang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eastAsiaTheme="minorEastAsia"/>
          <w:lang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eastAsiaTheme="minorEastAsia"/>
          <w:lang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  <w:lang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both"/>
        <w:textAlignment w:val="auto"/>
        <w:rPr>
          <w:rFonts w:hint="eastAsia" w:ascii="微软雅黑" w:hAnsi="微软雅黑" w:eastAsia="微软雅黑" w:cs="微软雅黑"/>
          <w:sz w:val="30"/>
          <w:szCs w:val="30"/>
        </w:rPr>
      </w:pPr>
    </w:p>
    <w:p>
      <w:bookmarkStart w:id="3" w:name="_感谢60000+企业睿智的选择"/>
    </w:p>
    <w:p/>
    <w:p/>
    <w:p/>
    <w:p/>
    <w:p/>
    <w:p/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405071872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-467360</wp:posOffset>
            </wp:positionV>
            <wp:extent cx="5748655" cy="4504055"/>
            <wp:effectExtent l="0" t="0" r="4445" b="10795"/>
            <wp:wrapNone/>
            <wp:docPr id="1" name="图片 1" descr="高度评价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高度评价图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/>
          <w:kern w:val="2"/>
          <w:sz w:val="24"/>
          <w:szCs w:val="24"/>
          <w:lang w:val="en-US" w:eastAsia="zh-CN" w:bidi="ar-SA"/>
        </w:rPr>
        <w:t>历历程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drawing>
          <wp:anchor distT="0" distB="0" distL="114300" distR="114300" simplePos="0" relativeHeight="240507494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370205</wp:posOffset>
            </wp:positionV>
            <wp:extent cx="5899150" cy="2665730"/>
            <wp:effectExtent l="0" t="0" r="6350" b="1270"/>
            <wp:wrapNone/>
            <wp:docPr id="147" name="图片 147" descr="组群学习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组群学习1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drawing>
          <wp:anchor distT="0" distB="0" distL="114300" distR="114300" simplePos="0" relativeHeight="24050708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438150</wp:posOffset>
            </wp:positionV>
            <wp:extent cx="5875655" cy="2809240"/>
            <wp:effectExtent l="0" t="0" r="10795" b="10160"/>
            <wp:wrapNone/>
            <wp:docPr id="146" name="图片 146" descr="照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照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  <w:t>加入我们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招生对象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405045248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5715</wp:posOffset>
                </wp:positionV>
                <wp:extent cx="5344795" cy="0"/>
                <wp:effectExtent l="0" t="0" r="0" b="0"/>
                <wp:wrapNone/>
                <wp:docPr id="192" name="直接连接符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94435" y="2176145"/>
                          <a:ext cx="53447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.05pt;margin-top:0.45pt;height:0pt;width:420.85pt;z-index:-1889922048;mso-width-relative:page;mso-height-relative:page;" filled="f" stroked="t" coordsize="21600,21600" o:gfxdata="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CiVi7NMA&#10;AAADAQAADwAAAAAAAAABACAAAAAiAAAAZHJzL2Rvd25yZXYueG1sUEsBAhQAFAAAAAgAh07iQNL1&#10;pFvrAQAAlQMAAA4AAAAAAAAAAQAgAAAAIgEAAGRycy9lMm9Eb2MueG1sUEsFBgAAAAAGAAYAWQEA&#10;AH8FAAAAAA==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w:t>企事业单位总会计师、财务总监、财务主管、战略投融资等财经业内人士；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董事长、董事、总裁、总经理、副总等企业财务决策和管理者。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【报名电话】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联系人：张老师 15801019329（微信同号）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电 话：010-80533351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邮 箱：pkuyxb@163.com   137198858@qq.com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学习安排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textAlignment w:val="auto"/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学习费用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RMB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24"/>
          <w:szCs w:val="24"/>
        </w:rPr>
        <w:t>万/人</w: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40504627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3175</wp:posOffset>
                </wp:positionV>
                <wp:extent cx="5344795" cy="0"/>
                <wp:effectExtent l="0" t="0" r="0" b="0"/>
                <wp:wrapNone/>
                <wp:docPr id="193" name="直接连接符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47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3pt;margin-top:0.25pt;height:0pt;width:420.85pt;z-index:-1889921024;mso-width-relative:page;mso-height-relative:page;" filled="f" stroked="t" coordsize="21600,21600" o:gfxdata="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BrHan0wAAAAMBAAAPAAAAAAAA&#10;AAEAIAAAACIAAABkcnMvZG93bnJldi54bWxQSwECFAAUAAAACACHTuJAyXrxnd4BAACJAwAADgAA&#10;AAAAAAABACAAAAAiAQAAZHJzL2Uyb0RvYy54bWxQSwUGAAAAAAYABgBZAQAAcgUAAAAA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</w:rPr>
        <w:t>在职学习一年，每两月授课2天，周末上课，每天学时6小时。</w:t>
      </w: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 w:val="0"/>
          <w:bCs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405044224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732155</wp:posOffset>
                </wp:positionV>
                <wp:extent cx="1343025" cy="3059430"/>
                <wp:effectExtent l="0" t="0" r="9525" b="762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33720" y="6929120"/>
                          <a:ext cx="1343025" cy="3059430"/>
                        </a:xfrm>
                        <a:prstGeom prst="rect">
                          <a:avLst/>
                        </a:prstGeom>
                        <a:solidFill>
                          <a:srgbClr val="006289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华为集团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中国华电集团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中国民生银行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凯德控股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蒙牛集团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江通动画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九阳股份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华晶金刚石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西安宝德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包商银行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和记黄埔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中国商飞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云南能源投资集团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新疆水利水电集团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东阿阿胶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4.6pt;margin-top:57.65pt;height:240.9pt;width:105.75pt;z-index:-1889923072;mso-width-relative:page;mso-height-relative:page;" fillcolor="#006289" filled="t" stroked="f" coordsize="21600,21600" o:gfxdata="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JTOl7dsAAAALAQAADwAAAAAAAAABACAAAAAi&#10;AAAAZHJzL2Rvd25yZXYueG1sUEsBAhQAFAAAAAgAh07iQDXfzMlAAgAAUAQAAA4AAAAAAAAAAQAg&#10;AAAAKgEAAGRycy9lMm9Eb2MueG1sUEsFBgAAAAAGAAYAWQEAANw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华为集团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中国华电集团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中国民生银行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凯德控股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蒙牛集团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江通动画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九阳股份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华晶金刚石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西安宝德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包商银行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和记黄埔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中国商飞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云南能源投资集团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新疆水利水电集团</w:t>
                      </w:r>
                    </w:p>
                    <w:p>
                      <w:pPr>
                        <w:jc w:val="center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东阿阿胶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32"/>
          <w:szCs w:val="32"/>
        </w:rPr>
        <w:t>感谢60000+企业睿智的选择</w:t>
      </w:r>
      <w:bookmarkEnd w:id="3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405043200" behindDoc="0" locked="1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780415</wp:posOffset>
            </wp:positionV>
            <wp:extent cx="4868545" cy="3136265"/>
            <wp:effectExtent l="0" t="0" r="0" b="0"/>
            <wp:wrapNone/>
            <wp:docPr id="51" name="图片 51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br w:type="textWrapping"/>
      </w:r>
      <w:r>
        <w:rPr>
          <w:rFonts w:hint="eastAsia" w:eastAsiaTheme="minorEastAsia"/>
          <w:lang w:eastAsia="zh-CN"/>
        </w:rPr>
        <w:br w:type="textWrapping"/>
      </w:r>
    </w:p>
    <w:p>
      <w:pPr>
        <w:rPr>
          <w:rFonts w:hint="eastAsia" w:ascii="微软雅黑" w:hAnsi="微软雅黑" w:eastAsia="微软雅黑" w:cs="微软雅黑"/>
          <w:b w:val="0"/>
          <w:bCs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b w:val="0"/>
          <w:bCs/>
          <w:sz w:val="24"/>
          <w:szCs w:val="24"/>
        </w:rPr>
      </w:pPr>
    </w:p>
    <w:p/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>
      <w:pPr>
        <w:tabs>
          <w:tab w:val="center" w:pos="4366"/>
          <w:tab w:val="left" w:pos="6990"/>
        </w:tabs>
        <w:ind w:right="1440"/>
        <w:rPr>
          <w:rFonts w:hint="eastAsia"/>
          <w:sz w:val="18"/>
          <w:szCs w:val="18"/>
        </w:rPr>
      </w:pPr>
      <w:r>
        <w:rPr>
          <w:rFonts w:ascii="微软雅黑" w:hAnsi="微软雅黑" w:eastAsia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-530225</wp:posOffset>
            </wp:positionV>
            <wp:extent cx="6353175" cy="876300"/>
            <wp:effectExtent l="0" t="0" r="0" b="0"/>
            <wp:wrapNone/>
            <wp:docPr id="4" name="图片 4" descr="D:\2019年工作\入学通知书\录取通知书专用LOGO\财税管控LOGO.png财税管控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2019年工作\入学通知书\录取通知书专用LOGO\财税管控LOGO.png财税管控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5715"/>
        </w:tabs>
        <w:spacing w:beforeLines="50" w:afterLines="25"/>
        <w:jc w:val="center"/>
        <w:rPr>
          <w:rFonts w:hint="eastAsia" w:ascii="华文中宋" w:hAnsi="华文中宋" w:eastAsia="华文中宋"/>
          <w:b/>
          <w:sz w:val="48"/>
          <w:szCs w:val="48"/>
        </w:rPr>
      </w:pPr>
      <w:r>
        <w:rPr>
          <w:rFonts w:hint="eastAsia" w:ascii="华文中宋" w:hAnsi="华文中宋" w:eastAsia="华文中宋"/>
          <w:b/>
          <w:sz w:val="48"/>
          <w:szCs w:val="48"/>
        </w:rPr>
        <w:t>报名登记表</w:t>
      </w:r>
    </w:p>
    <w:p>
      <w:pPr>
        <w:tabs>
          <w:tab w:val="left" w:pos="5715"/>
        </w:tabs>
        <w:spacing w:beforeLines="50" w:afterLines="25"/>
        <w:jc w:val="left"/>
        <w:rPr>
          <w:rFonts w:hint="eastAsia" w:ascii="宋体" w:hAnsi="宋体" w:eastAsia="宋体" w:cs="宋体"/>
          <w:b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以下信息仅用于录取审核工作，并为申请人保密，请详细填写。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bookmarkStart w:id="4" w:name="_GoBack"/>
      <w:bookmarkEnd w:id="4"/>
      <w:r>
        <w:rPr>
          <w:rFonts w:hint="eastAsia" w:ascii="宋体" w:hAnsi="宋体" w:eastAsia="宋体" w:cs="宋体"/>
          <w:sz w:val="21"/>
          <w:szCs w:val="21"/>
          <w:lang w:eastAsia="zh-CN"/>
        </w:rPr>
        <w:t>报名联系：张老师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15801019329</w:t>
      </w:r>
    </w:p>
    <w:tbl>
      <w:tblPr>
        <w:tblStyle w:val="6"/>
        <w:tblW w:w="9618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17"/>
        <w:gridCol w:w="2082"/>
        <w:gridCol w:w="854"/>
        <w:gridCol w:w="83"/>
        <w:gridCol w:w="764"/>
        <w:gridCol w:w="145"/>
        <w:gridCol w:w="422"/>
        <w:gridCol w:w="426"/>
        <w:gridCol w:w="132"/>
        <w:gridCol w:w="12"/>
        <w:gridCol w:w="851"/>
        <w:gridCol w:w="401"/>
        <w:gridCol w:w="46"/>
        <w:gridCol w:w="545"/>
        <w:gridCol w:w="567"/>
        <w:gridCol w:w="97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3" w:hRule="atLeast"/>
          <w:jc w:val="center"/>
        </w:trPr>
        <w:tc>
          <w:tcPr>
            <w:tcW w:w="9618" w:type="dxa"/>
            <w:gridSpan w:val="16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个人信息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5" w:hRule="atLeast"/>
          <w:jc w:val="center"/>
        </w:trPr>
        <w:tc>
          <w:tcPr>
            <w:tcW w:w="1317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姓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名</w:t>
            </w:r>
          </w:p>
        </w:tc>
        <w:tc>
          <w:tcPr>
            <w:tcW w:w="208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性    别</w:t>
            </w:r>
          </w:p>
        </w:tc>
        <w:tc>
          <w:tcPr>
            <w:tcW w:w="2435" w:type="dxa"/>
            <w:gridSpan w:val="8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3" w:type="dxa"/>
            <w:gridSpan w:val="3"/>
            <w:vMerge w:val="restart"/>
            <w:tcBorders>
              <w:top w:val="single" w:color="auto" w:sz="12" w:space="0"/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照片（2寸）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78" w:hRule="atLeast"/>
          <w:jc w:val="center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出生年月</w:t>
            </w:r>
          </w:p>
        </w:tc>
        <w:tc>
          <w:tcPr>
            <w:tcW w:w="20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right w:val="none" w:color="auto" w:sz="0" w:space="0"/>
              </w:pBdr>
              <w:spacing w:before="0" w:beforeAutospacing="0" w:after="0" w:afterAutospacing="0"/>
              <w:rPr>
                <w:kern w:val="2"/>
                <w:sz w:val="21"/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籍   贯</w:t>
            </w:r>
          </w:p>
        </w:tc>
        <w:tc>
          <w:tcPr>
            <w:tcW w:w="2435" w:type="dxa"/>
            <w:gridSpan w:val="8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right w:val="none" w:color="auto" w:sz="0" w:space="0"/>
              </w:pBdr>
              <w:spacing w:before="0" w:beforeAutospacing="0" w:after="0" w:afterAutospacing="0"/>
              <w:rPr>
                <w:kern w:val="2"/>
                <w:sz w:val="21"/>
                <w:szCs w:val="21"/>
              </w:rPr>
            </w:pPr>
          </w:p>
        </w:tc>
        <w:tc>
          <w:tcPr>
            <w:tcW w:w="2083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03" w:hRule="atLeast"/>
          <w:jc w:val="center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最高学历</w:t>
            </w:r>
          </w:p>
        </w:tc>
        <w:tc>
          <w:tcPr>
            <w:tcW w:w="20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专   业</w:t>
            </w:r>
          </w:p>
        </w:tc>
        <w:tc>
          <w:tcPr>
            <w:tcW w:w="2435" w:type="dxa"/>
            <w:gridSpan w:val="8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2083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1" w:hRule="atLeast"/>
          <w:jc w:val="center"/>
        </w:trPr>
        <w:tc>
          <w:tcPr>
            <w:tcW w:w="13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移动电话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电子邮件</w:t>
            </w:r>
          </w:p>
        </w:tc>
        <w:tc>
          <w:tcPr>
            <w:tcW w:w="243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2083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32" w:hRule="atLeast"/>
          <w:jc w:val="center"/>
        </w:trPr>
        <w:tc>
          <w:tcPr>
            <w:tcW w:w="1317" w:type="dxa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身份证号码</w:t>
            </w:r>
          </w:p>
        </w:tc>
        <w:tc>
          <w:tcPr>
            <w:tcW w:w="8301" w:type="dxa"/>
            <w:gridSpan w:val="15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1" w:hRule="atLeast"/>
          <w:jc w:val="center"/>
        </w:trPr>
        <w:tc>
          <w:tcPr>
            <w:tcW w:w="1317" w:type="dxa"/>
            <w:vMerge w:val="restart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学习及</w:t>
            </w:r>
          </w:p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工作经历</w:t>
            </w:r>
          </w:p>
        </w:tc>
        <w:tc>
          <w:tcPr>
            <w:tcW w:w="2082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时间</w:t>
            </w:r>
          </w:p>
        </w:tc>
        <w:tc>
          <w:tcPr>
            <w:tcW w:w="2694" w:type="dxa"/>
            <w:gridSpan w:val="6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单位</w:t>
            </w:r>
          </w:p>
        </w:tc>
        <w:tc>
          <w:tcPr>
            <w:tcW w:w="3525" w:type="dxa"/>
            <w:gridSpan w:val="8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主要经历（职务）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  <w:jc w:val="center"/>
        </w:trPr>
        <w:tc>
          <w:tcPr>
            <w:tcW w:w="1317" w:type="dxa"/>
            <w:vMerge w:val="continue"/>
            <w:tcBorders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  <w:jc w:val="center"/>
        </w:trPr>
        <w:tc>
          <w:tcPr>
            <w:tcW w:w="1317" w:type="dxa"/>
            <w:vMerge w:val="continue"/>
            <w:tcBorders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  <w:jc w:val="center"/>
        </w:trPr>
        <w:tc>
          <w:tcPr>
            <w:tcW w:w="1317" w:type="dxa"/>
            <w:vMerge w:val="continue"/>
            <w:tcBorders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52" w:hRule="atLeast"/>
          <w:jc w:val="center"/>
        </w:trPr>
        <w:tc>
          <w:tcPr>
            <w:tcW w:w="9618" w:type="dxa"/>
            <w:gridSpan w:val="16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公司信息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  <w:jc w:val="center"/>
        </w:trPr>
        <w:tc>
          <w:tcPr>
            <w:tcW w:w="1317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公司名称</w:t>
            </w:r>
          </w:p>
        </w:tc>
        <w:tc>
          <w:tcPr>
            <w:tcW w:w="3019" w:type="dxa"/>
            <w:gridSpan w:val="3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31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职    务</w:t>
            </w:r>
          </w:p>
        </w:tc>
        <w:tc>
          <w:tcPr>
            <w:tcW w:w="3951" w:type="dxa"/>
            <w:gridSpan w:val="9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  <w:jc w:val="center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公司电话</w:t>
            </w:r>
          </w:p>
        </w:tc>
        <w:tc>
          <w:tcPr>
            <w:tcW w:w="3019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3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网    址</w:t>
            </w:r>
          </w:p>
        </w:tc>
        <w:tc>
          <w:tcPr>
            <w:tcW w:w="3951" w:type="dxa"/>
            <w:gridSpan w:val="9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  <w:jc w:val="center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通信地址</w:t>
            </w:r>
          </w:p>
        </w:tc>
        <w:tc>
          <w:tcPr>
            <w:tcW w:w="4908" w:type="dxa"/>
            <w:gridSpan w:val="8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szCs w:val="21"/>
              </w:rPr>
              <w:t>邮    编</w:t>
            </w:r>
          </w:p>
        </w:tc>
        <w:tc>
          <w:tcPr>
            <w:tcW w:w="2129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51" w:hRule="atLeast"/>
          <w:jc w:val="center"/>
        </w:trPr>
        <w:tc>
          <w:tcPr>
            <w:tcW w:w="13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公司性质</w:t>
            </w:r>
          </w:p>
        </w:tc>
        <w:tc>
          <w:tcPr>
            <w:tcW w:w="8301" w:type="dxa"/>
            <w:gridSpan w:val="15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6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□国有企业          □民营/私营企业         □外商独资企业</w:t>
            </w:r>
          </w:p>
          <w:p>
            <w:pPr>
              <w:spacing w:line="36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□中外合资企业      □政府部门和事业单位    □其他(请注明) </w:t>
            </w:r>
            <w:r>
              <w:rPr>
                <w:rFonts w:hint="eastAsia" w:ascii="宋体" w:hAnsi="宋体"/>
                <w:u w:val="single"/>
              </w:rPr>
              <w:t xml:space="preserve">            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84" w:hRule="atLeast"/>
          <w:jc w:val="center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所属行业</w:t>
            </w:r>
          </w:p>
        </w:tc>
        <w:tc>
          <w:tcPr>
            <w:tcW w:w="2936" w:type="dxa"/>
            <w:gridSpan w:val="2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□制造业 □金融投资</w:t>
            </w:r>
          </w:p>
          <w:p>
            <w:pPr>
              <w:spacing w:line="32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□贸易、服务业□房地产建筑      □信息、通讯  其他_______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</w:t>
            </w:r>
          </w:p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年销售额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/>
                <w:szCs w:val="21"/>
              </w:rPr>
            </w:pPr>
          </w:p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</w:t>
            </w:r>
          </w:p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员工人数</w:t>
            </w:r>
          </w:p>
        </w:tc>
        <w:tc>
          <w:tcPr>
            <w:tcW w:w="992" w:type="dxa"/>
            <w:gridSpan w:val="3"/>
            <w:tcBorders>
              <w:top w:val="nil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9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67" w:type="dxa"/>
            <w:tcBorders>
              <w:top w:val="nil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9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兴趣</w:t>
            </w:r>
          </w:p>
          <w:p>
            <w:pPr>
              <w:spacing w:line="320" w:lineRule="exact"/>
              <w:ind w:left="9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爱好</w:t>
            </w:r>
          </w:p>
        </w:tc>
        <w:tc>
          <w:tcPr>
            <w:tcW w:w="971" w:type="dxa"/>
            <w:tcBorders>
              <w:top w:val="nil"/>
              <w:left w:val="single" w:color="auto" w:sz="4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3" w:hRule="atLeast"/>
          <w:jc w:val="center"/>
        </w:trPr>
        <w:tc>
          <w:tcPr>
            <w:tcW w:w="9618" w:type="dxa"/>
            <w:gridSpan w:val="16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其他信息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73" w:hRule="atLeast"/>
          <w:jc w:val="center"/>
        </w:trPr>
        <w:tc>
          <w:tcPr>
            <w:tcW w:w="1317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获得信息的渠道</w:t>
            </w:r>
          </w:p>
        </w:tc>
        <w:tc>
          <w:tcPr>
            <w:tcW w:w="8301" w:type="dxa"/>
            <w:gridSpan w:val="15"/>
            <w:tcBorders>
              <w:top w:val="single" w:color="auto" w:sz="12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ind w:firstLine="105" w:firstLineChars="50"/>
              <w:rPr>
                <w:rFonts w:ascii="宋体" w:hAnsi="宋体"/>
              </w:rPr>
            </w:pP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同事或朋友介绍（姓名）</w:t>
            </w:r>
            <w:r>
              <w:rPr>
                <w:rFonts w:hint="eastAsia" w:ascii="宋体" w:hAnsi="宋体"/>
                <w:u w:val="single"/>
              </w:rPr>
              <w:t xml:space="preserve">                 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本公司人力资源部</w:t>
            </w:r>
          </w:p>
          <w:p>
            <w:pPr>
              <w:spacing w:line="32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 xml:space="preserve">搜索引擎          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报纸、杂志广告(请注明)</w:t>
            </w:r>
            <w:r>
              <w:rPr>
                <w:rFonts w:hint="eastAsia" w:ascii="宋体" w:hAnsi="宋体"/>
                <w:u w:val="single"/>
              </w:rPr>
              <w:t xml:space="preserve">         </w:t>
            </w:r>
          </w:p>
          <w:p>
            <w:pPr>
              <w:spacing w:line="320" w:lineRule="exact"/>
              <w:ind w:firstLine="105" w:firstLineChars="50"/>
              <w:rPr>
                <w:rFonts w:ascii="宋体" w:hAnsi="宋体"/>
              </w:rPr>
            </w:pP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网络广告</w:t>
            </w:r>
            <w:r>
              <w:rPr>
                <w:rFonts w:hAnsi="宋体"/>
              </w:rPr>
              <w:t>（</w:t>
            </w:r>
            <w:r>
              <w:t>E-mail</w:t>
            </w:r>
            <w:r>
              <w:rPr>
                <w:rFonts w:hint="eastAsia" w:hAnsi="宋体"/>
              </w:rPr>
              <w:t xml:space="preserve">）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 xml:space="preserve">各种直邮资料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其他(请注明)</w:t>
            </w:r>
            <w:r>
              <w:rPr>
                <w:rFonts w:hint="eastAsia" w:ascii="宋体" w:hAnsi="宋体"/>
                <w:u w:val="single"/>
              </w:rPr>
              <w:t xml:space="preserve">          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6" w:hRule="atLeast"/>
          <w:jc w:val="center"/>
        </w:trPr>
        <w:tc>
          <w:tcPr>
            <w:tcW w:w="13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需要提交资料</w:t>
            </w:r>
          </w:p>
        </w:tc>
        <w:tc>
          <w:tcPr>
            <w:tcW w:w="8301" w:type="dxa"/>
            <w:gridSpan w:val="15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ind w:firstLine="105" w:firstLineChars="5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★居民身份证复印件 ★最高学历证书复印件 ★二寸电子版蓝底证件照 ★名片两张 </w:t>
            </w:r>
          </w:p>
          <w:p>
            <w:pPr>
              <w:spacing w:line="320" w:lineRule="exact"/>
              <w:ind w:firstLine="105" w:firstLineChars="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★公司简介一份和营业执照副本复印件</w:t>
            </w:r>
          </w:p>
        </w:tc>
      </w:tr>
    </w:tbl>
    <w:p>
      <w:pPr>
        <w:rPr>
          <w:rFonts w:hint="eastAsia" w:ascii="宋体" w:hAnsi="宋体"/>
          <w:b/>
          <w:sz w:val="24"/>
        </w:rPr>
      </w:pPr>
    </w:p>
    <w:p>
      <w:r>
        <w:rPr>
          <w:rFonts w:hint="eastAsia" w:ascii="宋体" w:hAnsi="宋体"/>
          <w:b/>
          <w:sz w:val="24"/>
        </w:rPr>
        <w:t>申请人签名：</w:t>
      </w:r>
      <w:r>
        <w:rPr>
          <w:rFonts w:hint="eastAsia" w:ascii="宋体" w:hAnsi="宋体"/>
          <w:b/>
          <w:sz w:val="24"/>
          <w:u w:val="single"/>
        </w:rPr>
        <w:t xml:space="preserve">                         </w:t>
      </w:r>
      <w:r>
        <w:rPr>
          <w:rFonts w:hint="eastAsia" w:ascii="宋体" w:hAnsi="宋体"/>
          <w:b/>
          <w:sz w:val="24"/>
        </w:rPr>
        <w:t xml:space="preserve">       日期：</w:t>
      </w:r>
      <w:r>
        <w:rPr>
          <w:rFonts w:hint="eastAsia" w:ascii="宋体" w:hAnsi="宋体"/>
          <w:b/>
          <w:sz w:val="24"/>
          <w:u w:val="single"/>
        </w:rPr>
        <w:t xml:space="preserve">                  </w:t>
      </w:r>
    </w:p>
    <w:sectPr>
      <w:pgSz w:w="11850" w:h="16783"/>
      <w:pgMar w:top="1440" w:right="1287" w:bottom="1440" w:left="12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A749CC"/>
    <w:rsid w:val="0285372F"/>
    <w:rsid w:val="02DB3E52"/>
    <w:rsid w:val="03484729"/>
    <w:rsid w:val="04BF1E4C"/>
    <w:rsid w:val="06DC614D"/>
    <w:rsid w:val="0A500E9B"/>
    <w:rsid w:val="0D0F65B8"/>
    <w:rsid w:val="0EEC2418"/>
    <w:rsid w:val="11074AB1"/>
    <w:rsid w:val="14462D13"/>
    <w:rsid w:val="156C6457"/>
    <w:rsid w:val="167D21AD"/>
    <w:rsid w:val="1714334C"/>
    <w:rsid w:val="1A670FED"/>
    <w:rsid w:val="1ACE1DE4"/>
    <w:rsid w:val="1B3310B0"/>
    <w:rsid w:val="1CF85629"/>
    <w:rsid w:val="1D231173"/>
    <w:rsid w:val="20B026D1"/>
    <w:rsid w:val="230A1C5D"/>
    <w:rsid w:val="254D3444"/>
    <w:rsid w:val="270A13DA"/>
    <w:rsid w:val="27E16F2F"/>
    <w:rsid w:val="30E146BE"/>
    <w:rsid w:val="31647147"/>
    <w:rsid w:val="32C5462C"/>
    <w:rsid w:val="34D2142E"/>
    <w:rsid w:val="37D75D38"/>
    <w:rsid w:val="382D6CBF"/>
    <w:rsid w:val="39C86432"/>
    <w:rsid w:val="3BF7096F"/>
    <w:rsid w:val="3BFB2578"/>
    <w:rsid w:val="3C9652F5"/>
    <w:rsid w:val="3E4E125C"/>
    <w:rsid w:val="3F0531E1"/>
    <w:rsid w:val="40CA04AC"/>
    <w:rsid w:val="410C346D"/>
    <w:rsid w:val="46B26D15"/>
    <w:rsid w:val="486F2739"/>
    <w:rsid w:val="490804F9"/>
    <w:rsid w:val="4B45311C"/>
    <w:rsid w:val="4CBA09AF"/>
    <w:rsid w:val="5045162E"/>
    <w:rsid w:val="504D7AC6"/>
    <w:rsid w:val="5200771D"/>
    <w:rsid w:val="548A0D12"/>
    <w:rsid w:val="55DD05F8"/>
    <w:rsid w:val="5B950720"/>
    <w:rsid w:val="5E0E357F"/>
    <w:rsid w:val="60853AEA"/>
    <w:rsid w:val="62C1644D"/>
    <w:rsid w:val="6345630F"/>
    <w:rsid w:val="64F556C2"/>
    <w:rsid w:val="669B6F25"/>
    <w:rsid w:val="674B06CB"/>
    <w:rsid w:val="67922B47"/>
    <w:rsid w:val="6A187157"/>
    <w:rsid w:val="6A332DE3"/>
    <w:rsid w:val="6A430B01"/>
    <w:rsid w:val="6F726502"/>
    <w:rsid w:val="71E02129"/>
    <w:rsid w:val="71EC6756"/>
    <w:rsid w:val="72D4387A"/>
    <w:rsid w:val="73BE0EEF"/>
    <w:rsid w:val="74966EAC"/>
    <w:rsid w:val="75124491"/>
    <w:rsid w:val="772E5C38"/>
    <w:rsid w:val="79593621"/>
    <w:rsid w:val="7C03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FollowedHyperlink"/>
    <w:basedOn w:val="7"/>
    <w:qFormat/>
    <w:uiPriority w:val="0"/>
    <w:rPr>
      <w:color w:val="800080"/>
      <w:u w:val="single"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paragraph" w:customStyle="1" w:styleId="10">
    <w:name w:val="xl38"/>
    <w:basedOn w:val="1"/>
    <w:qFormat/>
    <w:uiPriority w:val="0"/>
    <w:pPr>
      <w:widowControl/>
      <w:pBdr>
        <w:left w:val="single" w:color="auto" w:sz="4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514</Words>
  <Characters>530</Characters>
  <Lines>0</Lines>
  <Paragraphs>0</Paragraphs>
  <TotalTime>4</TotalTime>
  <ScaleCrop>false</ScaleCrop>
  <LinksUpToDate>false</LinksUpToDate>
  <CharactersWithSpaces>533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雨林木风</dc:creator>
  <cp:lastModifiedBy>清华韩韩</cp:lastModifiedBy>
  <dcterms:modified xsi:type="dcterms:W3CDTF">2020-04-16T06:35:37Z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